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1834" w:rsidRPr="00780868" w:rsidRDefault="00F17177" w:rsidP="00C81834">
      <w:pPr>
        <w:pStyle w:val="af8"/>
        <w:keepNext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color w:val="000000"/>
          <w:sz w:val="32"/>
          <w:szCs w:val="28"/>
          <w:shd w:val="clear" w:color="auto" w:fill="FFFFFF"/>
          <w:lang w:eastAsia="ru-RU"/>
        </w:rPr>
        <w:drawing>
          <wp:inline distT="0" distB="0" distL="0" distR="0">
            <wp:extent cx="1200150" cy="12382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34" w:rsidRPr="00780868" w:rsidRDefault="00C81834" w:rsidP="00C81834">
      <w:pPr>
        <w:pStyle w:val="af8"/>
        <w:rPr>
          <w:rFonts w:ascii="Times New Roman" w:hAnsi="Times New Roman"/>
          <w:sz w:val="24"/>
        </w:rPr>
      </w:pPr>
      <w:r w:rsidRPr="00780868">
        <w:rPr>
          <w:rFonts w:ascii="Times New Roman" w:hAnsi="Times New Roman"/>
          <w:sz w:val="24"/>
        </w:rPr>
        <w:t xml:space="preserve">                                                                               </w:t>
      </w:r>
    </w:p>
    <w:p w:rsidR="00C81834" w:rsidRPr="00780868" w:rsidRDefault="00C81834" w:rsidP="00C81834">
      <w:pPr>
        <w:jc w:val="right"/>
        <w:rPr>
          <w:bCs/>
          <w:sz w:val="28"/>
          <w:szCs w:val="32"/>
        </w:rPr>
      </w:pPr>
      <w:r w:rsidRPr="00780868">
        <w:rPr>
          <w:b/>
          <w:bCs/>
          <w:sz w:val="32"/>
          <w:szCs w:val="32"/>
        </w:rPr>
        <w:t>ПРЕСС-РЕЛИЗ</w:t>
      </w:r>
      <w:r w:rsidRPr="00780868">
        <w:rPr>
          <w:b/>
          <w:bCs/>
          <w:sz w:val="32"/>
          <w:szCs w:val="32"/>
        </w:rPr>
        <w:br/>
      </w:r>
      <w:r>
        <w:rPr>
          <w:bCs/>
          <w:sz w:val="28"/>
          <w:szCs w:val="32"/>
        </w:rPr>
        <w:t>25</w:t>
      </w:r>
      <w:r w:rsidRPr="00780868">
        <w:rPr>
          <w:bCs/>
          <w:sz w:val="28"/>
          <w:szCs w:val="32"/>
        </w:rPr>
        <w:t>.04.2024</w:t>
      </w:r>
    </w:p>
    <w:p w:rsidR="00C81834" w:rsidRPr="00780868" w:rsidRDefault="00C81834" w:rsidP="00C81834">
      <w:pPr>
        <w:jc w:val="right"/>
        <w:rPr>
          <w:b/>
          <w:bCs/>
          <w:sz w:val="36"/>
          <w:szCs w:val="32"/>
        </w:rPr>
      </w:pPr>
    </w:p>
    <w:p w:rsidR="009A68BA" w:rsidRDefault="009A68BA" w:rsidP="00C81834">
      <w:pPr>
        <w:jc w:val="both"/>
        <w:rPr>
          <w:sz w:val="30"/>
          <w:szCs w:val="30"/>
        </w:rPr>
      </w:pPr>
      <w:bookmarkStart w:id="0" w:name="_GoBack"/>
      <w:bookmarkEnd w:id="0"/>
    </w:p>
    <w:p w:rsidR="009A68BA" w:rsidRPr="003E77D5" w:rsidRDefault="009A68BA" w:rsidP="003E77D5">
      <w:pPr>
        <w:pStyle w:val="a0"/>
        <w:spacing w:after="0" w:line="240" w:lineRule="auto"/>
        <w:rPr>
          <w:b/>
          <w:sz w:val="22"/>
        </w:rPr>
      </w:pPr>
      <w:r w:rsidRPr="003E77D5">
        <w:rPr>
          <w:b/>
          <w:sz w:val="28"/>
          <w:szCs w:val="32"/>
        </w:rPr>
        <w:t>Сервисы портала Росреестра для получения информации о недвижимости</w:t>
      </w:r>
    </w:p>
    <w:p w:rsidR="009A68BA" w:rsidRDefault="009A68BA">
      <w:pPr>
        <w:pStyle w:val="a0"/>
        <w:spacing w:after="0" w:line="240" w:lineRule="auto"/>
        <w:jc w:val="center"/>
      </w:pPr>
    </w:p>
    <w:p w:rsidR="009A68BA" w:rsidRDefault="009A68BA">
      <w:pPr>
        <w:pStyle w:val="NoSpacing"/>
        <w:ind w:firstLine="68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Эксперты рассказали о ресурсах, к которым следует обращается при сборе первоначальной информации о земельных участках, домах, зданиях, квартирах и т.д. С их помощью можно получить сведения о кадастровом номере объекта, виде его разрешенного использования или назначении, узнать о наличии или отсутствии зарегистрированных прав, ограничениях (обременениях) прав и т.д.</w:t>
      </w:r>
    </w:p>
    <w:p w:rsidR="009A68BA" w:rsidRDefault="009A68BA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Выбирая объект недвижимости для приобретения или аренды необходимо собрать первоначальную информацию о них, которая позволит определится с дальнейшими действиями. Информации о всех поставленных на учет и зарегистрированных объектах содержится в Едином государственном реестре недвижимости (ЕГРН). В настоящее время на портале Росреестра доступно несколько сервисов, позволяющих дистанционно получить сведения о недвижимости. </w:t>
      </w:r>
    </w:p>
    <w:p w:rsidR="009A68BA" w:rsidRDefault="009A68BA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bCs/>
          <w:sz w:val="28"/>
          <w:szCs w:val="28"/>
          <w:lang w:eastAsia="ru-RU"/>
        </w:rPr>
        <w:t xml:space="preserve">Если адрес объекта недвижимости известен, проверку можно начать с сервиса 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«</w:t>
      </w:r>
      <w:hyperlink r:id="rId9" w:history="1">
        <w:r>
          <w:rPr>
            <w:rStyle w:val="a5"/>
            <w:b/>
            <w:bCs/>
            <w:iCs/>
            <w:color w:val="0000CD"/>
            <w:sz w:val="28"/>
            <w:szCs w:val="28"/>
            <w:shd w:val="clear" w:color="auto" w:fill="FFFFFF"/>
          </w:rPr>
          <w:t>Справочная информация по объектам недвижимости online</w:t>
        </w:r>
      </w:hyperlink>
      <w:r>
        <w:rPr>
          <w:b/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iCs/>
          <w:color w:val="000000"/>
          <w:sz w:val="28"/>
          <w:szCs w:val="28"/>
          <w:shd w:val="clear" w:color="auto" w:fill="FFFFFF"/>
        </w:rPr>
        <w:t>(</w:t>
      </w:r>
      <w:hyperlink r:id="rId10" w:history="1">
        <w:r>
          <w:rPr>
            <w:rStyle w:val="a5"/>
            <w:b/>
            <w:bCs/>
            <w:iCs/>
            <w:color w:val="000000"/>
            <w:sz w:val="28"/>
            <w:szCs w:val="28"/>
            <w:shd w:val="clear" w:color="auto" w:fill="FFFFFF"/>
          </w:rPr>
          <w:t>https://lk.rosreestr.ru/eservices/real-estate-objects-online</w:t>
        </w:r>
      </w:hyperlink>
      <w:r>
        <w:rPr>
          <w:b/>
          <w:bCs/>
          <w:iCs/>
          <w:color w:val="000000"/>
          <w:sz w:val="28"/>
          <w:szCs w:val="28"/>
          <w:shd w:val="clear" w:color="auto" w:fill="FFFFFF"/>
        </w:rPr>
        <w:t>).</w:t>
      </w:r>
    </w:p>
    <w:p w:rsidR="009A68BA" w:rsidRDefault="009A68BA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«Главное преимущество данного сервиса заключается в возможности моментального получения описания нужного объекта недвижимости и информации о его кадастровом номере, наличии или отсутствии зарегистрированных прав,  ограничений (обременений). Эти сведения будут полезны для сопоставления с информацией, предоставленной собственником недвижимости. Наличие ареста или ограничений позволит определится с целесообразностью дальнейшего сбора информации»</w:t>
      </w:r>
      <w:r>
        <w:rPr>
          <w:iCs/>
          <w:color w:val="000000"/>
          <w:sz w:val="28"/>
          <w:szCs w:val="28"/>
          <w:shd w:val="clear" w:color="auto" w:fill="FFFFFF"/>
        </w:rPr>
        <w:t xml:space="preserve">, - рассказал </w:t>
      </w:r>
      <w:r>
        <w:rPr>
          <w:b/>
          <w:iCs/>
          <w:color w:val="000000"/>
          <w:sz w:val="28"/>
          <w:szCs w:val="28"/>
          <w:shd w:val="clear" w:color="auto" w:fill="FFFFFF"/>
        </w:rPr>
        <w:t>заместитель директора Роскадастра по Алтайскому краю Игорь Штайнепрайс.</w:t>
      </w:r>
    </w:p>
    <w:p w:rsidR="009A68BA" w:rsidRDefault="009A68BA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iCs/>
          <w:color w:val="000000"/>
          <w:sz w:val="28"/>
          <w:szCs w:val="28"/>
          <w:shd w:val="clear" w:color="auto" w:fill="FFFFFF"/>
        </w:rPr>
        <w:t>Если в сервисе просматривается информация о частном доме, здании или земельном участке можно в один клик перейти к Публичной кадастровой карте и посмотреть расположение недвижимости непосредственно на местности.</w:t>
      </w:r>
    </w:p>
    <w:p w:rsidR="009A68BA" w:rsidRDefault="009A68BA">
      <w:pPr>
        <w:pStyle w:val="a0"/>
        <w:spacing w:after="0" w:line="240" w:lineRule="auto"/>
        <w:ind w:firstLine="709"/>
        <w:jc w:val="both"/>
      </w:pPr>
      <w:hyperlink r:id="rId11" w:history="1">
        <w:r>
          <w:rPr>
            <w:rStyle w:val="a5"/>
            <w:b/>
            <w:bCs/>
            <w:iCs/>
            <w:sz w:val="28"/>
            <w:szCs w:val="28"/>
            <w:shd w:val="clear" w:color="auto" w:fill="FFFFFF"/>
          </w:rPr>
          <w:t>Публичная кадастровая карта</w:t>
        </w:r>
      </w:hyperlink>
      <w:r>
        <w:rPr>
          <w:b/>
          <w:bCs/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(ППК) </w:t>
      </w:r>
      <w:r>
        <w:rPr>
          <w:b/>
          <w:bCs/>
          <w:iCs/>
          <w:sz w:val="28"/>
          <w:szCs w:val="28"/>
          <w:shd w:val="clear" w:color="auto" w:fill="FFFFFF"/>
        </w:rPr>
        <w:t xml:space="preserve">(https://pkk.rosreestr.ru/) </w:t>
      </w:r>
      <w:r>
        <w:rPr>
          <w:iCs/>
          <w:sz w:val="28"/>
          <w:szCs w:val="28"/>
          <w:shd w:val="clear" w:color="auto" w:fill="FFFFFF"/>
        </w:rPr>
        <w:t>наиболее востребованный ресурс, к которому наиболее часто обращаются жители Алтайского края, кадастровые инженеры, специалисты, работающие в сфере недвижимости, предприниматели и т.д.</w:t>
      </w:r>
    </w:p>
    <w:p w:rsidR="009A68BA" w:rsidRDefault="009A68BA">
      <w:pPr>
        <w:pStyle w:val="a0"/>
        <w:spacing w:after="0" w:line="240" w:lineRule="auto"/>
        <w:ind w:firstLine="709"/>
        <w:jc w:val="both"/>
      </w:pPr>
      <w:r>
        <w:rPr>
          <w:iCs/>
          <w:sz w:val="28"/>
          <w:szCs w:val="28"/>
          <w:shd w:val="clear" w:color="auto" w:fill="FFFFFF"/>
        </w:rPr>
        <w:t xml:space="preserve">ППК содержит сведения о границах объектов недвижимости, населенных пунктов, муниципальных образований, территориальных зон, зон с особыми </w:t>
      </w:r>
      <w:r>
        <w:rPr>
          <w:iCs/>
          <w:sz w:val="28"/>
          <w:szCs w:val="28"/>
          <w:shd w:val="clear" w:color="auto" w:fill="FFFFFF"/>
        </w:rPr>
        <w:lastRenderedPageBreak/>
        <w:t>условиями использования территорий, территорий объектов культурного наследия и иные сведения, внесенные в ЕГРН. Электронный ресурс оснащен слоем «Картографическая основа», отображающим объекты на цифровых ортофотопланах.</w:t>
      </w:r>
    </w:p>
    <w:p w:rsidR="009A68BA" w:rsidRDefault="009A68BA">
      <w:pPr>
        <w:pStyle w:val="a0"/>
        <w:spacing w:after="0" w:line="240" w:lineRule="auto"/>
        <w:ind w:firstLine="709"/>
        <w:jc w:val="both"/>
      </w:pPr>
      <w:r>
        <w:rPr>
          <w:iCs/>
          <w:sz w:val="28"/>
          <w:szCs w:val="28"/>
          <w:shd w:val="clear" w:color="auto" w:fill="FFFFFF"/>
        </w:rPr>
        <w:t>Информация представлена на карте в графическом и текстовом виде. С помощью ПКК можно узнать кадастровый номер, местоположение (адрес), размеры и площадь, кадастровую стоимость, форму собственности, дату постановки на кадастровый учет, кадастровую стоимость, категорию земель, вид разрешенного использования, узнать находится ли земельный участок в зоне с особыми условиями использования территории и иные индивидуальные параметры объекта недвижимости.</w:t>
      </w:r>
    </w:p>
    <w:p w:rsidR="009A68BA" w:rsidRDefault="009A68BA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iCs/>
          <w:color w:val="000000"/>
          <w:sz w:val="28"/>
          <w:szCs w:val="28"/>
          <w:shd w:val="clear" w:color="auto" w:fill="FFFFFF"/>
        </w:rPr>
        <w:t xml:space="preserve">Возможности интерактивной кадастровой карты позволяют осуществлять пространственный поиск объектов недвижимости, производить с помощью инструментов карты измерения, </w:t>
      </w:r>
      <w:r>
        <w:rPr>
          <w:iCs/>
          <w:color w:val="000000"/>
          <w:sz w:val="28"/>
          <w:szCs w:val="28"/>
        </w:rPr>
        <w:t>добавлять на карту объекты (используя функции рисования либо путем импорта координатного описания)</w:t>
      </w:r>
      <w:r>
        <w:rPr>
          <w:iCs/>
          <w:color w:val="000000"/>
          <w:sz w:val="28"/>
          <w:szCs w:val="28"/>
          <w:shd w:val="clear" w:color="auto" w:fill="FFFFFF"/>
        </w:rPr>
        <w:t>, а также определять площадь и координаты заданного пользователем полигона. Кроме того, пользователь П</w:t>
      </w:r>
      <w:r w:rsidRPr="00C81834">
        <w:rPr>
          <w:iCs/>
          <w:color w:val="000000"/>
          <w:sz w:val="28"/>
          <w:szCs w:val="28"/>
          <w:shd w:val="clear" w:color="auto" w:fill="FFFFFF"/>
        </w:rPr>
        <w:t>К</w:t>
      </w:r>
      <w:r>
        <w:rPr>
          <w:iCs/>
          <w:color w:val="000000"/>
          <w:sz w:val="28"/>
          <w:szCs w:val="28"/>
          <w:shd w:val="clear" w:color="auto" w:fill="FFFFFF"/>
        </w:rPr>
        <w:t>К может отправлять по электронной почте и распечатывать выделенный фрагмент карты.</w:t>
      </w:r>
    </w:p>
    <w:p w:rsidR="009A68BA" w:rsidRDefault="009A68BA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iCs/>
          <w:color w:val="000000"/>
          <w:sz w:val="28"/>
          <w:szCs w:val="28"/>
          <w:shd w:val="clear" w:color="auto" w:fill="FFFFFF"/>
        </w:rPr>
        <w:t xml:space="preserve">Перед началом работы с Публичной кадастровой картой в режиме обучения можно пройти пошаговый инструктаж, который продемонстрирует возможности и инструменты сервиса. Для запуска веб-приложения необходимо перейти по ссылке </w:t>
      </w:r>
      <w:hyperlink r:id="rId12" w:history="1">
        <w:r>
          <w:rPr>
            <w:rStyle w:val="a5"/>
            <w:iCs/>
            <w:sz w:val="28"/>
            <w:szCs w:val="28"/>
            <w:shd w:val="clear" w:color="auto" w:fill="FFFFFF"/>
          </w:rPr>
          <w:t>http://pkk.rosreestr.ru</w:t>
        </w:r>
      </w:hyperlink>
      <w:r>
        <w:rPr>
          <w:iCs/>
          <w:color w:val="000000"/>
          <w:sz w:val="28"/>
          <w:szCs w:val="28"/>
          <w:shd w:val="clear" w:color="auto" w:fill="FFFFFF"/>
        </w:rPr>
        <w:t>.</w:t>
      </w:r>
    </w:p>
    <w:p w:rsidR="009A68BA" w:rsidRDefault="009A68BA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«Обращаем внимание, что сведения сервисов </w:t>
      </w:r>
      <w:r>
        <w:rPr>
          <w:bCs/>
          <w:i/>
          <w:iCs/>
          <w:color w:val="000000"/>
          <w:sz w:val="28"/>
          <w:szCs w:val="28"/>
          <w:shd w:val="clear" w:color="auto" w:fill="FFFFFF"/>
        </w:rPr>
        <w:t>«</w:t>
      </w:r>
      <w:hyperlink r:id="rId13" w:history="1">
        <w:r>
          <w:rPr>
            <w:rStyle w:val="a5"/>
            <w:bCs/>
            <w:i/>
            <w:iCs/>
            <w:color w:val="000000"/>
            <w:sz w:val="28"/>
            <w:szCs w:val="28"/>
            <w:u w:val="none"/>
            <w:shd w:val="clear" w:color="auto" w:fill="FFFFFF"/>
          </w:rPr>
          <w:t>Справочная информация по объектам недвижимости online</w:t>
        </w:r>
      </w:hyperlink>
      <w:r>
        <w:rPr>
          <w:bCs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и  «Публичная кадастровая карта» могут быть использованы только в качестве справочной информации. Для получения сведений в виде документа (выписки из ЕГРН), необходимо оформить запрос. Это можно сделать на портале Госуслуг»,</w:t>
      </w:r>
      <w:r>
        <w:rPr>
          <w:iCs/>
          <w:color w:val="000000"/>
          <w:sz w:val="28"/>
          <w:szCs w:val="28"/>
          <w:shd w:val="clear" w:color="auto" w:fill="FFFFFF"/>
        </w:rPr>
        <w:t xml:space="preserve"> - отметил </w:t>
      </w:r>
      <w:r>
        <w:rPr>
          <w:b/>
          <w:iCs/>
          <w:color w:val="000000"/>
          <w:sz w:val="28"/>
          <w:szCs w:val="28"/>
          <w:shd w:val="clear" w:color="auto" w:fill="FFFFFF"/>
        </w:rPr>
        <w:t>Игорь Штайнепрайс.</w:t>
      </w:r>
    </w:p>
    <w:p w:rsidR="00C81834" w:rsidRDefault="00C81834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</w:p>
    <w:p w:rsidR="00C81834" w:rsidRPr="00C81834" w:rsidRDefault="00F1717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067300" cy="5067300"/>
            <wp:effectExtent l="0" t="0" r="0" b="0"/>
            <wp:docPr id="2" name="Рисунок 2" descr="сервисы портал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висы портала (1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8BA" w:rsidRDefault="009A68BA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C81834" w:rsidRPr="00C81834" w:rsidRDefault="00C81834" w:rsidP="00C81834">
      <w:pPr>
        <w:spacing w:line="259" w:lineRule="auto"/>
        <w:rPr>
          <w:rFonts w:eastAsia="Calibri"/>
        </w:rPr>
      </w:pPr>
      <w:r w:rsidRPr="00C81834">
        <w:rPr>
          <w:rFonts w:eastAsia="Calibri"/>
          <w:b/>
          <w:noProof/>
          <w:lang w:eastAsia="sk-SK"/>
        </w:rPr>
        <w:t>Об Управлении Росреестра по Алтайскому краю</w:t>
      </w:r>
    </w:p>
    <w:p w:rsidR="00C81834" w:rsidRPr="00C81834" w:rsidRDefault="00C81834" w:rsidP="00C81834">
      <w:pPr>
        <w:rPr>
          <w:rFonts w:eastAsia="Calibri"/>
        </w:rPr>
      </w:pPr>
      <w:r w:rsidRPr="00C81834">
        <w:rPr>
          <w:rFonts w:eastAsia="Calibri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C81834">
        <w:rPr>
          <w:rFonts w:eastAsia="Calibri"/>
          <w:color w:val="000000"/>
        </w:rPr>
        <w:t>, главный регистратор Алтайского края</w:t>
      </w:r>
      <w:r w:rsidRPr="00C81834">
        <w:rPr>
          <w:rFonts w:eastAsia="Calibri"/>
        </w:rPr>
        <w:t xml:space="preserve"> – Юрий Викторович Калашников.</w:t>
      </w:r>
    </w:p>
    <w:p w:rsidR="00C81834" w:rsidRPr="00C81834" w:rsidRDefault="00C81834" w:rsidP="00C81834">
      <w:pPr>
        <w:rPr>
          <w:rFonts w:eastAsia="Calibri"/>
          <w:b/>
          <w:noProof/>
          <w:sz w:val="20"/>
          <w:szCs w:val="20"/>
          <w:lang w:eastAsia="sk-SK"/>
        </w:rPr>
      </w:pPr>
    </w:p>
    <w:p w:rsidR="00C81834" w:rsidRPr="00C81834" w:rsidRDefault="00C81834" w:rsidP="00C81834">
      <w:pPr>
        <w:rPr>
          <w:rFonts w:eastAsia="Calibri"/>
          <w:b/>
          <w:noProof/>
          <w:sz w:val="20"/>
          <w:szCs w:val="20"/>
          <w:lang w:eastAsia="sk-SK"/>
        </w:rPr>
      </w:pPr>
      <w:r w:rsidRPr="00C81834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C81834" w:rsidRPr="001A3D3D" w:rsidRDefault="00C81834" w:rsidP="00C81834">
      <w:pPr>
        <w:rPr>
          <w:rFonts w:eastAsia="Calibri"/>
          <w:sz w:val="20"/>
          <w:szCs w:val="20"/>
        </w:rPr>
      </w:pPr>
      <w:r w:rsidRPr="001A3D3D">
        <w:rPr>
          <w:rFonts w:eastAsia="Calibri"/>
          <w:sz w:val="20"/>
          <w:szCs w:val="20"/>
        </w:rPr>
        <w:t>Пресс-секретарь Управления Росреестра по Алтайскому краю</w:t>
      </w:r>
      <w:r w:rsidRPr="001A3D3D">
        <w:rPr>
          <w:rFonts w:eastAsia="Calibri"/>
          <w:sz w:val="20"/>
          <w:szCs w:val="20"/>
        </w:rPr>
        <w:br/>
      </w:r>
      <w:r w:rsidRPr="001A3D3D">
        <w:rPr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C81834" w:rsidRPr="001A3D3D" w:rsidRDefault="00C81834" w:rsidP="00C81834">
      <w:pPr>
        <w:rPr>
          <w:rFonts w:eastAsia="Calibri"/>
          <w:sz w:val="20"/>
          <w:szCs w:val="20"/>
        </w:rPr>
      </w:pPr>
      <w:hyperlink r:id="rId15" w:history="1"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1A3D3D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1A3D3D">
        <w:rPr>
          <w:rFonts w:eastAsia="Calibri"/>
          <w:sz w:val="20"/>
          <w:szCs w:val="20"/>
        </w:rPr>
        <w:t>656002, Барнаул, ул. Советская, д. 16</w:t>
      </w:r>
    </w:p>
    <w:p w:rsidR="00C81834" w:rsidRPr="001A3D3D" w:rsidRDefault="00C81834" w:rsidP="00C81834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A3D3D">
        <w:rPr>
          <w:rFonts w:eastAsia="Calibri"/>
          <w:sz w:val="20"/>
          <w:szCs w:val="20"/>
        </w:rPr>
        <w:t>Сайт Росреестра:</w:t>
      </w:r>
      <w:r w:rsidRPr="001A3D3D">
        <w:rPr>
          <w:sz w:val="20"/>
          <w:szCs w:val="20"/>
          <w:lang w:eastAsia="ru-RU"/>
        </w:rPr>
        <w:t xml:space="preserve"> </w:t>
      </w:r>
      <w:hyperlink r:id="rId16" w:history="1"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A3D3D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A3D3D">
        <w:rPr>
          <w:rFonts w:eastAsia="Calibri"/>
          <w:sz w:val="20"/>
          <w:szCs w:val="20"/>
        </w:rPr>
        <w:t>Яндекс-Дзен:</w:t>
      </w:r>
      <w:r w:rsidRPr="001A3D3D">
        <w:rPr>
          <w:sz w:val="20"/>
          <w:szCs w:val="20"/>
          <w:lang w:eastAsia="ru-RU"/>
        </w:rPr>
        <w:t xml:space="preserve"> </w:t>
      </w:r>
      <w:hyperlink r:id="rId17" w:history="1"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A3D3D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C81834" w:rsidRPr="001A3D3D" w:rsidRDefault="00C81834" w:rsidP="00C81834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A3D3D">
        <w:rPr>
          <w:rFonts w:eastAsia="Calibri"/>
          <w:sz w:val="20"/>
          <w:szCs w:val="20"/>
        </w:rPr>
        <w:t>ВКонтакте:</w:t>
      </w:r>
      <w:r w:rsidRPr="001A3D3D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8" w:history="1"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A3D3D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A3D3D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r w:rsidRPr="001A3D3D">
        <w:rPr>
          <w:rFonts w:eastAsia="Calibri"/>
          <w:sz w:val="20"/>
          <w:szCs w:val="20"/>
        </w:rPr>
        <w:t>Телеграм-канал:</w:t>
      </w:r>
      <w:r w:rsidRPr="001A3D3D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C81834" w:rsidRPr="001A3D3D" w:rsidRDefault="00C81834" w:rsidP="00C81834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A3D3D">
        <w:rPr>
          <w:rFonts w:eastAsia="Calibri"/>
          <w:sz w:val="20"/>
          <w:szCs w:val="20"/>
        </w:rPr>
        <w:t>Одноклассники:</w:t>
      </w:r>
      <w:r w:rsidRPr="001A3D3D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9" w:history="1">
        <w:r w:rsidRPr="001A3D3D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9A68BA" w:rsidRPr="00031147" w:rsidRDefault="00C81834" w:rsidP="00031147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A3D3D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sectPr w:rsidR="009A68BA" w:rsidRPr="00031147">
      <w:footerReference w:type="default" r:id="rId20"/>
      <w:footerReference w:type="first" r:id="rId21"/>
      <w:pgSz w:w="11906" w:h="16838"/>
      <w:pgMar w:top="675" w:right="567" w:bottom="738" w:left="1134" w:header="720" w:footer="33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BA" w:rsidRDefault="009A68BA">
      <w:r>
        <w:separator/>
      </w:r>
    </w:p>
  </w:endnote>
  <w:endnote w:type="continuationSeparator" w:id="0">
    <w:p w:rsidR="009A68BA" w:rsidRDefault="009A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BA" w:rsidRDefault="009A68BA">
    <w:pPr>
      <w:pStyle w:val="af2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BA" w:rsidRDefault="009A68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BA" w:rsidRDefault="009A68BA">
      <w:r>
        <w:separator/>
      </w:r>
    </w:p>
  </w:footnote>
  <w:footnote w:type="continuationSeparator" w:id="0">
    <w:p w:rsidR="009A68BA" w:rsidRDefault="009A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34"/>
    <w:rsid w:val="00031147"/>
    <w:rsid w:val="003E77D5"/>
    <w:rsid w:val="009A68BA"/>
    <w:rsid w:val="00C81834"/>
    <w:rsid w:val="00F1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c">
    <w:name w:val="Основной текст Знак"/>
    <w:rPr>
      <w:color w:val="00000A"/>
      <w:kern w:val="2"/>
      <w:sz w:val="24"/>
      <w:szCs w:val="24"/>
      <w:lang w:eastAsia="zh-CN"/>
    </w:rPr>
  </w:style>
  <w:style w:type="paragraph" w:customStyle="1" w:styleId="ad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1">
    <w:name w:val="Заголовок2"/>
    <w:basedOn w:val="10"/>
    <w:next w:val="a0"/>
  </w:style>
  <w:style w:type="paragraph" w:customStyle="1" w:styleId="31">
    <w:name w:val="Заголовок3"/>
    <w:basedOn w:val="21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4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No Spacing"/>
    <w:uiPriority w:val="1"/>
    <w:qFormat/>
    <w:rsid w:val="00C8183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c">
    <w:name w:val="Основной текст Знак"/>
    <w:rPr>
      <w:color w:val="00000A"/>
      <w:kern w:val="2"/>
      <w:sz w:val="24"/>
      <w:szCs w:val="24"/>
      <w:lang w:eastAsia="zh-CN"/>
    </w:rPr>
  </w:style>
  <w:style w:type="paragraph" w:customStyle="1" w:styleId="ad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e">
    <w:name w:val="List"/>
    <w:basedOn w:val="a0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21">
    <w:name w:val="Заголовок2"/>
    <w:basedOn w:val="10"/>
    <w:next w:val="a0"/>
  </w:style>
  <w:style w:type="paragraph" w:customStyle="1" w:styleId="31">
    <w:name w:val="Заголовок3"/>
    <w:basedOn w:val="21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0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1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4">
    <w:name w:val="Subtitle"/>
    <w:basedOn w:val="10"/>
    <w:next w:val="a0"/>
    <w:qFormat/>
  </w:style>
  <w:style w:type="paragraph" w:customStyle="1" w:styleId="af5">
    <w:name w:val="Содержимое таблицы"/>
    <w:basedOn w:val="a"/>
  </w:style>
  <w:style w:type="paragraph" w:customStyle="1" w:styleId="34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6">
    <w:name w:val="Заголовок таблицы"/>
    <w:basedOn w:val="af5"/>
    <w:pPr>
      <w:suppressLineNumbers/>
      <w:jc w:val="center"/>
    </w:pPr>
    <w:rPr>
      <w:b/>
      <w:bCs/>
    </w:rPr>
  </w:style>
  <w:style w:type="paragraph" w:customStyle="1" w:styleId="af7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af8">
    <w:name w:val="No Spacing"/>
    <w:uiPriority w:val="1"/>
    <w:qFormat/>
    <w:rsid w:val="00C818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k.rosreestr.ru/eservices/real-estate-objects-online" TargetMode="External"/><Relationship Id="rId18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kk.rosreestr.ru/" TargetMode="External"/><Relationship Id="rId17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reestr.gov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2press_rosreestr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k.rosreestr.ru/eservices/real-estate-objects-online" TargetMode="External"/><Relationship Id="rId19" Type="http://schemas.openxmlformats.org/officeDocument/2006/relationships/hyperlink" Target="https://ok.ru/rosreestr22alt.kr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/real-estate-objects-online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Links>
    <vt:vector size="60" baseType="variant">
      <vt:variant>
        <vt:i4>393235</vt:i4>
      </vt:variant>
      <vt:variant>
        <vt:i4>27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24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21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18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15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  <vt:variant>
        <vt:i4>1900546</vt:i4>
      </vt:variant>
      <vt:variant>
        <vt:i4>12</vt:i4>
      </vt:variant>
      <vt:variant>
        <vt:i4>0</vt:i4>
      </vt:variant>
      <vt:variant>
        <vt:i4>5</vt:i4>
      </vt:variant>
      <vt:variant>
        <vt:lpwstr>https://lk.rosreestr.ru/eservices/real-estate-objects-online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http://pkk.rosreestr.ru/</vt:lpwstr>
      </vt:variant>
      <vt:variant>
        <vt:lpwstr/>
      </vt:variant>
      <vt:variant>
        <vt:i4>196684</vt:i4>
      </vt:variant>
      <vt:variant>
        <vt:i4>6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https://lk.rosreestr.ru/eservices/real-estate-objects-online</vt:lpwstr>
      </vt:variant>
      <vt:variant>
        <vt:lpwstr/>
      </vt:variant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https://lk.rosreestr.ru/eservices/real-estate-objects-online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Таку Евгений Юрьевич</cp:lastModifiedBy>
  <cp:revision>2</cp:revision>
  <cp:lastPrinted>2023-04-10T08:45:00Z</cp:lastPrinted>
  <dcterms:created xsi:type="dcterms:W3CDTF">2024-05-08T07:30:00Z</dcterms:created>
  <dcterms:modified xsi:type="dcterms:W3CDTF">2024-05-08T07:30:00Z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