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Земельное законодательство</w:t>
      </w:r>
    </w:p>
    <w:p w14:paraId="02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Федеральным законом от 25.05.2026 № 159-ФЗ «О внесении изменения в Федеральный закон «О введении в действие Земельного кодекса Российской Федерации» установлено, что если в период проведения СВО истек срок действия договора аренды земельного участка, находящегося в государственной или муниципальной собственности, или договора безвозмездного пользования таким земельным участком, заключенных с действующим участником СВО, указанные договоры считаются возобновленными на неопределенный срок. </w:t>
      </w:r>
    </w:p>
    <w:p w14:paraId="03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Информация об участии в СВО и подтверждающие документы могут быть представлены в уполномоченный орган самим участником СВО, его представителями, а также членами семьи или близкими родственниками. </w:t>
      </w:r>
    </w:p>
    <w:p w14:paraId="04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Указанный гражданин имеет право на заключение нового договора аренды земельного участка, находящегося в государственной или муниципальной собственности, или нового договора безвозмездного пользования таким земельным участком, условия которого должны соответствовать условиям ранее заключенного и возобновленного договора. </w:t>
      </w:r>
    </w:p>
    <w:p w14:paraId="05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Соответствующее заявление должно быть подано в уполномоченный орган в течение одного года со дня окончания гражданином участия в СВО. Несоблюдение данного условия является основанием для отказа в заключени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z w:val="22"/>
        </w:rPr>
        <w:t xml:space="preserve"> договора. </w:t>
      </w:r>
    </w:p>
    <w:p w14:paraId="06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Настоящий Федеральный закон вступает в силу со дня его официального опубликования. </w:t>
      </w:r>
    </w:p>
    <w:p w14:paraId="07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Действие положений статьи 25 Федерального закона от 25 октября 2001 года № 137-ФЗ «О введении в действие Земельного кодекса Российской Федерации» распространяется на правоотношения, возникшие до дня вступления в силу настоящего Федерального закона. </w:t>
      </w:r>
    </w:p>
    <w:p w14:paraId="08000000">
      <w:pPr>
        <w:rPr>
          <w:rFonts w:ascii="Times New Roman" w:hAnsi="Times New Roman"/>
          <w:sz w:val="22"/>
        </w:rPr>
      </w:pPr>
    </w:p>
    <w:p w14:paraId="09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Прокурор Хабарского района                                                                                                С.Б. Ермилов</w:t>
      </w:r>
    </w:p>
    <w:p w14:paraId="0A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20.06.2026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2026-06-20T06:55:30Z</dcterms:modified>
</cp:coreProperties>
</file>