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Утверждена новая Стратегия противодействия экстремизму в Российской Федерации</w:t>
      </w:r>
    </w:p>
    <w:p w14:paraId="02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Эффективное противодействие экстремизму как явлению, угрожающему конституционному строю, суверенитету, единству и территориальной целостности Российской Федерации, требует планомерных и поэтапных мер, реализуемых общими усилиями власти и общества. Указом Президента Российской Федерации от 28.12.2024 № 1124 утверждена новая Стратегия противодействия экстремизму в Российской Федерации, сменившая прежний документ стратегического планирования от 29.05.2020. </w:t>
      </w:r>
    </w:p>
    <w:p w14:paraId="03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Стремительно меняющаяся обстановка в стране и в мире, новые вызовы и угрозы диктуют необходимость новых подходов и инструментов противодействия экстремизму, нашедших свое отражение в Стратегии. Так, к проявлениям экстремизма теперь отнесено умышленное искажение истории и реабилитация нацизма, а среди угроз названа политика некоторых иностранных государств по искажению истории, фальсификации роли СССР во</w:t>
      </w:r>
      <w:r>
        <w:rPr>
          <w:rFonts w:ascii="Times New Roman" w:hAnsi="Times New Roman"/>
          <w:sz w:val="22"/>
        </w:rPr>
        <w:t xml:space="preserve"> В</w:t>
      </w:r>
      <w:r>
        <w:rPr>
          <w:rFonts w:ascii="Times New Roman" w:hAnsi="Times New Roman"/>
          <w:sz w:val="22"/>
        </w:rPr>
        <w:t xml:space="preserve">торой мировой войне и преуменьшению его вклада в победу над гитлеровской Германией и милитаристской Японией, возрождению идей нацизма и фашизма, активизации идей реваншизма, героизации нацистов и их пособников. 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 xml:space="preserve">Инструментами противодействия этому должны стать: - введение в образовательную деятельность единого курса истории России, объективно освещающего наиболее значимые события, связанные со становлением и развитием страны; – субсидирование производства, распространения и тиражирования информационных материалов (в том числе книг, кино– </w:t>
      </w:r>
      <w:r>
        <w:rPr>
          <w:rFonts w:ascii="Times New Roman" w:hAnsi="Times New Roman"/>
          <w:sz w:val="22"/>
        </w:rPr>
        <w:t xml:space="preserve">и </w:t>
      </w:r>
      <w:r>
        <w:rPr>
          <w:rFonts w:ascii="Times New Roman" w:hAnsi="Times New Roman"/>
          <w:sz w:val="22"/>
        </w:rPr>
        <w:t xml:space="preserve">видеофильмов), раскрывающих преступную сущность идей фашизма и неонацизма, деятельности украинских радикальных структур; - укрепление и совершенствование общеобразовательной школы как инструмента сохранения традиционных российских духовно-нравственных ценностей, развития культуры и истории, воспитания уважения к мировым культурным ценностям; продвижение на международной арене инициатив, направленных на борьбу с возрождением нацизма, неонацизмом и их героизацией, а также с применением рядом государств неонацистских подходов во внешней и внутренней политике. 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С учетом этого одним из ожидаемых результатов реализации Стратегии указано повышение уровня интереса к российской истории, недопущение искажения исторических фактов. Сохранение исторической памяти о Великой Отечественной войне обеспечено введением законодателем уголовной ответственности за реабилитацию нацизма. В соответствии со статьей 354.1 Уголовного кодекса Российской Федерации отрицание фактов, установленных приговором Международного военного трибунала для суда и наказания главных военных преступников европейских стран оси, одобрение преступлений, установленных указанным приговором, отрицание факта геноцида советского народа или одобрение геноцида советского народа, а равно распространение заведомо ложных сведений о деятельности СССР в годы</w:t>
      </w:r>
      <w:r>
        <w:rPr>
          <w:rFonts w:ascii="Times New Roman" w:hAnsi="Times New Roman"/>
          <w:sz w:val="22"/>
        </w:rPr>
        <w:t xml:space="preserve"> В</w:t>
      </w:r>
      <w:r>
        <w:rPr>
          <w:rFonts w:ascii="Times New Roman" w:hAnsi="Times New Roman"/>
          <w:sz w:val="22"/>
        </w:rPr>
        <w:t>торой мировой войны, о ветеранах Великой отечественной войны, совершенные публично, влечет наказание от штрафа (до трех миллионов рублей) до лишения свободы (до трех лет), а те же деяния, совершенные с использованием служебного положения, в составе группы, с использованием сети Интернет или с искусственным созданием доказательств обвинения, предусматривают наказание до лишения свобода на срок до пяти лет.</w:t>
      </w:r>
    </w:p>
    <w:p w14:paraId="04000000">
      <w:pPr>
        <w:rPr>
          <w:rFonts w:ascii="Times New Roman" w:hAnsi="Times New Roman"/>
          <w:sz w:val="22"/>
        </w:rPr>
      </w:pPr>
    </w:p>
    <w:p w14:paraId="05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Прокурор Хабарского района                                                                                                С.Б. Ермилов</w:t>
      </w:r>
    </w:p>
    <w:p w14:paraId="06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20.06.2026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2026-06-20T07:00:06Z</dcterms:modified>
</cp:coreProperties>
</file>