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Ужесточена ответственность за нарушения при перевозке детей</w:t>
      </w:r>
    </w:p>
    <w:p w14:paraId="02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Федеральным законом от 29.12.2025 № 525-ФЗ «О внесении изменений в статью 12.23 Кодекса Российской Федерации об административных правонарушениях» изменено наказание за совершение правонарушения, предусмотренного </w:t>
      </w:r>
      <w:r>
        <w:rPr>
          <w:rFonts w:ascii="Times New Roman" w:hAnsi="Times New Roman"/>
          <w:sz w:val="22"/>
        </w:rPr>
        <w:t>ч</w:t>
      </w:r>
      <w:r>
        <w:rPr>
          <w:rFonts w:ascii="Times New Roman" w:hAnsi="Times New Roman"/>
          <w:sz w:val="22"/>
        </w:rPr>
        <w:t xml:space="preserve">. 3 ст. 12.23 КоАП РФ – Нарушение требований к перевозке детей, установленных Правилами дорожного движения. </w:t>
      </w:r>
    </w:p>
    <w:p w14:paraId="03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За совершение указанного правонарушения наказание в виде административного штрафа составляет 5 000 рублей для физических лиц (ранее – 3 000 рублей), 50 000 рублей для должностных лиц (ранее – 25 000 рублей), 200 000 рублей для юридических лиц (ранее – 100 000 рублей) </w:t>
      </w:r>
    </w:p>
    <w:p w14:paraId="0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Кроме того, физические лица, применяющие специальный налоговый режим «Налог на профессиональный доход» (самозанятые), совершившие административное правонарушение, предусмотренное частью 3 настоящей статьи, несут административную ответственность как должностные лица в случае, если такое правонарушение совершено в процессе осуществления деятельности по перевозке пассажиров и багажа легковым такси. </w:t>
      </w:r>
    </w:p>
    <w:p w14:paraId="05000000">
      <w:pPr>
        <w:rPr>
          <w:rFonts w:ascii="Times New Roman" w:hAnsi="Times New Roman"/>
          <w:sz w:val="22"/>
        </w:rPr>
      </w:pPr>
    </w:p>
    <w:p w14:paraId="0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7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2026-06-20T07:00:52Z</dcterms:modified>
</cp:coreProperties>
</file>