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04" w:rsidRDefault="00F34F04" w:rsidP="00C04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УТВЕРЖДАЮ:</w:t>
      </w:r>
    </w:p>
    <w:p w:rsidR="00F34F04" w:rsidRDefault="00F34F04" w:rsidP="00F34F04">
      <w:pPr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34F04" w:rsidRDefault="00F34F04" w:rsidP="00F34F04">
      <w:pPr>
        <w:tabs>
          <w:tab w:val="left" w:pos="62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В.Г.Бусыгин</w:t>
      </w:r>
      <w:proofErr w:type="spellEnd"/>
    </w:p>
    <w:p w:rsidR="00F34F04" w:rsidRDefault="00F34F04" w:rsidP="00F34F04">
      <w:pPr>
        <w:tabs>
          <w:tab w:val="left" w:pos="62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«14» февраля 2024г</w:t>
      </w:r>
    </w:p>
    <w:p w:rsidR="00F34F04" w:rsidRDefault="00F34F04" w:rsidP="00C046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F04" w:rsidRDefault="00F34F04" w:rsidP="00C046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F04" w:rsidRDefault="00F34F04" w:rsidP="00C046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482" w:rsidRPr="00C046C4" w:rsidRDefault="00F34F04" w:rsidP="00F34F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C046C4" w:rsidRPr="00C046C4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C046C4" w:rsidRDefault="00C046C4" w:rsidP="00C04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046C4">
        <w:rPr>
          <w:rFonts w:ascii="Times New Roman" w:hAnsi="Times New Roman" w:cs="Times New Roman"/>
          <w:b/>
          <w:sz w:val="28"/>
          <w:szCs w:val="28"/>
        </w:rPr>
        <w:t>б организации системы внутреннего обеспечения соответствия требованиям антимонопольного законодательства в деятельности Админис</w:t>
      </w:r>
      <w:r w:rsidR="00AC23C9">
        <w:rPr>
          <w:rFonts w:ascii="Times New Roman" w:hAnsi="Times New Roman" w:cs="Times New Roman"/>
          <w:b/>
          <w:sz w:val="28"/>
          <w:szCs w:val="28"/>
        </w:rPr>
        <w:t xml:space="preserve">трации </w:t>
      </w:r>
      <w:proofErr w:type="spellStart"/>
      <w:r w:rsidR="00AC23C9">
        <w:rPr>
          <w:rFonts w:ascii="Times New Roman" w:hAnsi="Times New Roman" w:cs="Times New Roman"/>
          <w:b/>
          <w:sz w:val="28"/>
          <w:szCs w:val="28"/>
        </w:rPr>
        <w:t>Хабарского</w:t>
      </w:r>
      <w:proofErr w:type="spellEnd"/>
      <w:r w:rsidR="00AC23C9">
        <w:rPr>
          <w:rFonts w:ascii="Times New Roman" w:hAnsi="Times New Roman" w:cs="Times New Roman"/>
          <w:b/>
          <w:sz w:val="28"/>
          <w:szCs w:val="28"/>
        </w:rPr>
        <w:t xml:space="preserve"> района за 2023</w:t>
      </w:r>
      <w:r w:rsidRPr="00C046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046C4" w:rsidRDefault="00C046C4" w:rsidP="00C046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6C4" w:rsidRDefault="00C046C4" w:rsidP="00C04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C4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C046C4" w:rsidRDefault="00C046C4" w:rsidP="00C046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6C4" w:rsidRDefault="00C046C4" w:rsidP="00AC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 года №618 «Об основных направлениях государственной политики по развитию конкуренции»</w:t>
      </w:r>
      <w:r w:rsidR="00AC23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«Положением об организации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AC23C9">
        <w:rPr>
          <w:rFonts w:ascii="Times New Roman" w:hAnsi="Times New Roman" w:cs="Times New Roman"/>
          <w:sz w:val="28"/>
          <w:szCs w:val="28"/>
        </w:rPr>
        <w:t xml:space="preserve"> района от 27.07.2020 года №298, в</w:t>
      </w:r>
      <w:r>
        <w:rPr>
          <w:rFonts w:ascii="Times New Roman" w:hAnsi="Times New Roman" w:cs="Times New Roman"/>
          <w:sz w:val="28"/>
          <w:szCs w:val="28"/>
        </w:rPr>
        <w:t xml:space="preserve"> целях обеспечения открытости и доступа к информации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создана вкладка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81927" w:rsidRDefault="00AC23C9" w:rsidP="00AC23C9">
      <w:pPr>
        <w:pStyle w:val="1"/>
        <w:tabs>
          <w:tab w:val="left" w:pos="5580"/>
        </w:tabs>
        <w:spacing w:after="160" w:line="276" w:lineRule="auto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</w:t>
      </w:r>
      <w:r w:rsidR="00381927">
        <w:rPr>
          <w:b/>
          <w:bCs/>
          <w:sz w:val="28"/>
          <w:szCs w:val="28"/>
        </w:rPr>
        <w:t>2.</w:t>
      </w:r>
      <w:r w:rsidR="00381927" w:rsidRPr="004F6911">
        <w:rPr>
          <w:b/>
          <w:bCs/>
          <w:sz w:val="28"/>
          <w:szCs w:val="28"/>
        </w:rPr>
        <w:t xml:space="preserve">Информация о результатах проведенной оценки </w:t>
      </w:r>
      <w:proofErr w:type="spellStart"/>
      <w:r w:rsidR="00381927" w:rsidRPr="004F6911">
        <w:rPr>
          <w:b/>
          <w:bCs/>
          <w:sz w:val="28"/>
          <w:szCs w:val="28"/>
        </w:rPr>
        <w:t>комплаенс</w:t>
      </w:r>
      <w:proofErr w:type="spellEnd"/>
      <w:r w:rsidR="00381927" w:rsidRPr="004F6911">
        <w:rPr>
          <w:b/>
          <w:bCs/>
          <w:sz w:val="28"/>
          <w:szCs w:val="28"/>
        </w:rPr>
        <w:t>-рисков</w:t>
      </w:r>
    </w:p>
    <w:p w:rsidR="00381927" w:rsidRDefault="00AC23C9" w:rsidP="00AC23C9">
      <w:pPr>
        <w:pStyle w:val="1"/>
        <w:tabs>
          <w:tab w:val="left" w:pos="0"/>
        </w:tabs>
        <w:spacing w:after="160" w:line="276" w:lineRule="auto"/>
        <w:jc w:val="both"/>
        <w:rPr>
          <w:sz w:val="28"/>
          <w:szCs w:val="28"/>
        </w:rPr>
      </w:pPr>
      <w:bookmarkStart w:id="1" w:name="bookmark11"/>
      <w:bookmarkEnd w:id="1"/>
      <w:r>
        <w:rPr>
          <w:sz w:val="28"/>
          <w:szCs w:val="28"/>
        </w:rPr>
        <w:t xml:space="preserve">    </w:t>
      </w:r>
      <w:r w:rsidR="00381927" w:rsidRPr="004F6911">
        <w:rPr>
          <w:sz w:val="28"/>
          <w:szCs w:val="28"/>
        </w:rPr>
        <w:t>В целях выявления и оценки рисков нарушения антимонопольного законодательства юридическим отделом были проведены:</w:t>
      </w:r>
    </w:p>
    <w:p w:rsidR="00381927" w:rsidRDefault="00381927" w:rsidP="00381927">
      <w:pPr>
        <w:pStyle w:val="1"/>
        <w:tabs>
          <w:tab w:val="left" w:pos="0"/>
        </w:tabs>
        <w:spacing w:after="1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анализ выявленных нарушений антимонопольного законодательства в деятельности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района;</w:t>
      </w:r>
    </w:p>
    <w:p w:rsidR="00381927" w:rsidRDefault="00381927" w:rsidP="00381927">
      <w:pPr>
        <w:pStyle w:val="1"/>
        <w:tabs>
          <w:tab w:val="left" w:pos="0"/>
        </w:tabs>
        <w:spacing w:after="1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ан</w:t>
      </w:r>
      <w:r w:rsidR="00211A53">
        <w:rPr>
          <w:sz w:val="28"/>
          <w:szCs w:val="28"/>
        </w:rPr>
        <w:t xml:space="preserve">ализ нормативных правовых актов, а также правовых актов Администрации </w:t>
      </w:r>
      <w:proofErr w:type="spellStart"/>
      <w:r w:rsidR="00211A53">
        <w:rPr>
          <w:sz w:val="28"/>
          <w:szCs w:val="28"/>
        </w:rPr>
        <w:t>Хабарского</w:t>
      </w:r>
      <w:proofErr w:type="spellEnd"/>
      <w:r w:rsidR="00211A53">
        <w:rPr>
          <w:sz w:val="28"/>
          <w:szCs w:val="28"/>
        </w:rPr>
        <w:t xml:space="preserve"> района,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законодательства;</w:t>
      </w:r>
    </w:p>
    <w:p w:rsidR="00211A53" w:rsidRDefault="00211A53" w:rsidP="00381927">
      <w:pPr>
        <w:pStyle w:val="1"/>
        <w:tabs>
          <w:tab w:val="left" w:pos="0"/>
        </w:tabs>
        <w:spacing w:after="1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анализ нормативных правовых актов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района на предмет выявления нарушений антимонопольного законодательства;</w:t>
      </w:r>
    </w:p>
    <w:p w:rsidR="00211A53" w:rsidRDefault="00211A53" w:rsidP="00381927">
      <w:pPr>
        <w:pStyle w:val="1"/>
        <w:tabs>
          <w:tab w:val="left" w:pos="0"/>
        </w:tabs>
        <w:spacing w:after="1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мониторинг и анализ практики применения в Администрации антимонопольного законодательства (в части соответствующих обзоров и обобщений);</w:t>
      </w:r>
    </w:p>
    <w:p w:rsidR="00211A53" w:rsidRDefault="00211A53" w:rsidP="00381927">
      <w:pPr>
        <w:pStyle w:val="1"/>
        <w:tabs>
          <w:tab w:val="left" w:pos="0"/>
        </w:tabs>
        <w:spacing w:after="1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систематическая оценка эффективности разработанных и реализуемых мероприятий по снижению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 – рисков.</w:t>
      </w:r>
    </w:p>
    <w:p w:rsidR="00211A53" w:rsidRPr="00211A53" w:rsidRDefault="00211A53" w:rsidP="00211A53">
      <w:pPr>
        <w:widowControl w:val="0"/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проведения анализа нормативных правовых актов администрации района сделан вывод о соответствии их действующему законодательству и нецелесообразности внесения изменений в действующие правовые акты.</w:t>
      </w:r>
    </w:p>
    <w:p w:rsidR="00211A53" w:rsidRPr="00211A53" w:rsidRDefault="00211A53" w:rsidP="00211A53">
      <w:pPr>
        <w:widowControl w:val="0"/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bookmark16"/>
      <w:bookmarkEnd w:id="2"/>
      <w:r w:rsidRPr="0021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Анализ проектов нормативных правовых актов на предмет соответствия их антимонопольному законодательству осуществляется на постоянной основе в рамках проведения антикоррупционной экспертизы. Кроме того, проекты нормативных правовых актов направляются для экспертизы, на предмет соответствия действующему законодательству, в органы прокуратуры.</w:t>
      </w:r>
    </w:p>
    <w:p w:rsidR="00211A53" w:rsidRPr="00211A53" w:rsidRDefault="00211A53" w:rsidP="00211A53">
      <w:pPr>
        <w:widowControl w:val="0"/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3" w:name="bookmark17"/>
      <w:bookmarkEnd w:id="3"/>
      <w:r w:rsidRPr="0021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и анализ практики применения администрацией района антимонопольного законодательства также осуществляется на постоянной основе. Рассмотрение дел по вопросам применения и возможного нарушения администрацией района норм антимонопольного законодательства в судебных инстанциях не осуществлялось.</w:t>
      </w:r>
    </w:p>
    <w:p w:rsidR="00640D60" w:rsidRDefault="00640D60" w:rsidP="00893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0A3" w:rsidRPr="008930A3" w:rsidRDefault="008930A3" w:rsidP="008930A3">
      <w:pPr>
        <w:keepNext/>
        <w:keepLines/>
        <w:widowControl w:val="0"/>
        <w:tabs>
          <w:tab w:val="left" w:pos="330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" w:name="bookmark18"/>
      <w:bookmarkStart w:id="5" w:name="bookmark19"/>
      <w:bookmarkStart w:id="6" w:name="bookmark2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</w:t>
      </w:r>
      <w:r w:rsidRPr="0089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Информация об исполнении мероприятий по снижению </w:t>
      </w:r>
      <w:proofErr w:type="spellStart"/>
      <w:r w:rsidRPr="0089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комплаенс</w:t>
      </w:r>
      <w:proofErr w:type="spellEnd"/>
      <w:r w:rsidRPr="00893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- рисков</w:t>
      </w:r>
      <w:bookmarkEnd w:id="4"/>
      <w:bookmarkEnd w:id="5"/>
      <w:bookmarkEnd w:id="6"/>
    </w:p>
    <w:p w:rsidR="008930A3" w:rsidRPr="008930A3" w:rsidRDefault="008930A3" w:rsidP="008930A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снижения рисков нарушения антимонопольного законодательства на основе карты </w:t>
      </w:r>
      <w:proofErr w:type="spellStart"/>
      <w:r w:rsidRPr="008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комплаенс</w:t>
      </w:r>
      <w:proofErr w:type="spellEnd"/>
      <w:r w:rsidRPr="008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рисков разработан План мероприятий («дорожная карта») по снижению рисков нарушения антимонопольного законодательства в администрации района (далее - План мероприятий). План мероприятий утвержден главой района.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Организационным </w:t>
      </w:r>
      <w:r w:rsidR="0032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отделом </w:t>
      </w:r>
      <w:r w:rsidR="00326860" w:rsidRPr="008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осуществлено</w:t>
      </w:r>
      <w:r w:rsidRPr="008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ознакомление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ьных служащих с постановлением А</w:t>
      </w:r>
      <w:r w:rsidRPr="008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Хабарского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района Алтайского края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24.07.2020 №</w:t>
      </w:r>
      <w:r w:rsidRPr="008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298</w:t>
      </w:r>
      <w:r w:rsidRPr="008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«Об утверждении Положения об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Хабаского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комплаенса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Pr="008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proofErr w:type="gramEnd"/>
      <w:r w:rsidRPr="008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8930A3" w:rsidRPr="008930A3" w:rsidRDefault="008930A3" w:rsidP="008930A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исключения положений, противоречащих нормам антимонопольного законодательства на стадии разработки проектов НПА, </w:t>
      </w:r>
      <w:r w:rsidRPr="0089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договоров, соглашений, юридическим отделом на постоянной основе проводится правовая экспертиза указанных документов, подготовленных структурными подразделениями администрации.</w:t>
      </w:r>
      <w:bookmarkStart w:id="7" w:name="bookmark24"/>
      <w:bookmarkEnd w:id="7"/>
    </w:p>
    <w:p w:rsidR="008930A3" w:rsidRDefault="008930A3" w:rsidP="008930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0A3" w:rsidRDefault="008930A3" w:rsidP="008930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D60" w:rsidRDefault="008930A3" w:rsidP="00640D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40D60">
        <w:rPr>
          <w:rFonts w:ascii="Times New Roman" w:hAnsi="Times New Roman" w:cs="Times New Roman"/>
          <w:b/>
          <w:sz w:val="28"/>
          <w:szCs w:val="28"/>
        </w:rPr>
        <w:t xml:space="preserve">. Информация о достижении ключевых показателей эффективности функционирования антимонопольного </w:t>
      </w:r>
      <w:proofErr w:type="spellStart"/>
      <w:r w:rsidR="00640D60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640D60"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 w:rsidR="00640D60">
        <w:rPr>
          <w:rFonts w:ascii="Times New Roman" w:hAnsi="Times New Roman" w:cs="Times New Roman"/>
          <w:b/>
          <w:sz w:val="28"/>
          <w:szCs w:val="28"/>
        </w:rPr>
        <w:t>Хабарского</w:t>
      </w:r>
      <w:proofErr w:type="spellEnd"/>
      <w:r w:rsidR="00640D6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40D60" w:rsidRDefault="00640D60" w:rsidP="00640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установлены следующие ключевые показатели:</w:t>
      </w:r>
    </w:p>
    <w:p w:rsidR="00640D60" w:rsidRDefault="00640D60" w:rsidP="00640D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D60">
        <w:rPr>
          <w:rFonts w:ascii="Times New Roman" w:hAnsi="Times New Roman" w:cs="Times New Roman"/>
          <w:sz w:val="28"/>
          <w:szCs w:val="28"/>
        </w:rPr>
        <w:t xml:space="preserve">Доля сотрудников Администрации </w:t>
      </w:r>
      <w:proofErr w:type="spellStart"/>
      <w:r w:rsidRPr="00640D60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640D60">
        <w:rPr>
          <w:rFonts w:ascii="Times New Roman" w:hAnsi="Times New Roman" w:cs="Times New Roman"/>
          <w:sz w:val="28"/>
          <w:szCs w:val="28"/>
        </w:rPr>
        <w:t xml:space="preserve"> района,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640D60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640D60">
        <w:rPr>
          <w:rFonts w:ascii="Times New Roman" w:hAnsi="Times New Roman" w:cs="Times New Roman"/>
          <w:sz w:val="28"/>
          <w:szCs w:val="28"/>
        </w:rPr>
        <w:t>.</w:t>
      </w:r>
    </w:p>
    <w:p w:rsidR="00640D60" w:rsidRDefault="00640D60" w:rsidP="00640D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которых выявлены риски нарушения антимонопольного законодательства.</w:t>
      </w:r>
    </w:p>
    <w:p w:rsidR="00640D60" w:rsidRDefault="00640D60" w:rsidP="00640D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E9E">
        <w:rPr>
          <w:rFonts w:ascii="Times New Roman" w:hAnsi="Times New Roman" w:cs="Times New Roman"/>
          <w:sz w:val="28"/>
          <w:szCs w:val="28"/>
        </w:rPr>
        <w:t>района</w:t>
      </w:r>
    </w:p>
    <w:p w:rsidR="00072E9E" w:rsidRDefault="00072E9E" w:rsidP="00072E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коэффициента снижения количества нарушений антимонопольного законодательства со стороны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под нарушением антимонопольного законодательства понимаются:</w:t>
      </w:r>
    </w:p>
    <w:p w:rsidR="00072E9E" w:rsidRDefault="00072E9E" w:rsidP="00072E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возбужденные антимонопольным органом в отношении Администрации района антимонопольные дела;</w:t>
      </w:r>
    </w:p>
    <w:p w:rsidR="00072E9E" w:rsidRDefault="00072E9E" w:rsidP="00072E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выданные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072E9E" w:rsidRDefault="00072E9E" w:rsidP="00072E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направленные антимонопольным органом в адрес Администрации района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072E9E" w:rsidRDefault="00072E9E" w:rsidP="00C62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значений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1441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методики, утвержденной приказом Федеральной антимонопольной службы России от 05.02.2019 года №133/19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="005A144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5A14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441">
        <w:rPr>
          <w:rFonts w:ascii="Times New Roman" w:hAnsi="Times New Roman" w:cs="Times New Roman"/>
          <w:sz w:val="28"/>
          <w:szCs w:val="28"/>
        </w:rPr>
        <w:t>(далее- методика, утвержденная приказом ФАС России от 5 февраля 2019 года №133-19).</w:t>
      </w:r>
    </w:p>
    <w:p w:rsidR="005A1441" w:rsidRDefault="005A1441" w:rsidP="00C62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AC23C9">
        <w:rPr>
          <w:rFonts w:ascii="Times New Roman" w:hAnsi="Times New Roman" w:cs="Times New Roman"/>
          <w:sz w:val="28"/>
          <w:szCs w:val="28"/>
        </w:rPr>
        <w:t>и с обозначенными нормами в 2023</w:t>
      </w:r>
      <w:r>
        <w:rPr>
          <w:rFonts w:ascii="Times New Roman" w:hAnsi="Times New Roman" w:cs="Times New Roman"/>
          <w:sz w:val="28"/>
          <w:szCs w:val="28"/>
        </w:rPr>
        <w:t xml:space="preserve"> году достигнуты следующие значения ключевых показателей.</w:t>
      </w:r>
    </w:p>
    <w:p w:rsidR="005A1441" w:rsidRPr="00C6296D" w:rsidRDefault="00C6296D" w:rsidP="00C62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2119" w:rsidRPr="00C6296D">
        <w:rPr>
          <w:rFonts w:ascii="Times New Roman" w:hAnsi="Times New Roman" w:cs="Times New Roman"/>
          <w:sz w:val="28"/>
          <w:szCs w:val="28"/>
        </w:rPr>
        <w:t xml:space="preserve">Доля сотрудников Администрации </w:t>
      </w:r>
      <w:proofErr w:type="spellStart"/>
      <w:r w:rsidR="00772119" w:rsidRPr="00C6296D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772119" w:rsidRPr="00C6296D">
        <w:rPr>
          <w:rFonts w:ascii="Times New Roman" w:hAnsi="Times New Roman" w:cs="Times New Roman"/>
          <w:sz w:val="28"/>
          <w:szCs w:val="28"/>
        </w:rPr>
        <w:t xml:space="preserve"> района,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772119" w:rsidRPr="00C6296D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772119" w:rsidRPr="00C6296D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772119" w:rsidRDefault="00772119" w:rsidP="00C6296D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E6A" w:rsidRDefault="00772119" w:rsidP="00C6296D">
      <w:pPr>
        <w:ind w:left="36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ДСо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КСо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КСобщ</m:t>
            </m:r>
          </m:den>
        </m:f>
      </m:oMath>
      <w:r w:rsidR="006A1E6A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6A1E6A" w:rsidRDefault="006A1E6A" w:rsidP="00C6296D">
      <w:pPr>
        <w:ind w:left="36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A1E6A" w:rsidRDefault="006A1E6A" w:rsidP="00C6296D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ДСо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- доля сотрудников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района,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A1E6A" w:rsidRDefault="006A1E6A" w:rsidP="00C6296D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КСо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- количество сотрудников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района,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A1E6A" w:rsidRDefault="006A1E6A" w:rsidP="00C6296D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КСобщ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общее количество сотрудников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района,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8930A3" w:rsidRDefault="008930A3" w:rsidP="00C6296D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ДСо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=3/3=1</w:t>
      </w:r>
    </w:p>
    <w:p w:rsidR="006A1E6A" w:rsidRPr="00C6296D" w:rsidRDefault="00C6296D" w:rsidP="00C6296D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C6296D">
        <w:rPr>
          <w:rFonts w:ascii="Times New Roman" w:eastAsiaTheme="minorEastAsia" w:hAnsi="Times New Roman" w:cs="Times New Roman"/>
          <w:sz w:val="28"/>
          <w:szCs w:val="28"/>
        </w:rPr>
        <w:t xml:space="preserve">Доля нормативных правовых актов Администрации </w:t>
      </w:r>
      <w:proofErr w:type="spellStart"/>
      <w:r w:rsidRPr="00C6296D">
        <w:rPr>
          <w:rFonts w:ascii="Times New Roman" w:eastAsiaTheme="minorEastAsia" w:hAnsi="Times New Roman" w:cs="Times New Roman"/>
          <w:sz w:val="28"/>
          <w:szCs w:val="28"/>
        </w:rPr>
        <w:t>Хабарского</w:t>
      </w:r>
      <w:proofErr w:type="spellEnd"/>
      <w:r w:rsidRPr="00C6296D">
        <w:rPr>
          <w:rFonts w:ascii="Times New Roman" w:eastAsiaTheme="minorEastAsia" w:hAnsi="Times New Roman" w:cs="Times New Roman"/>
          <w:sz w:val="28"/>
          <w:szCs w:val="28"/>
        </w:rPr>
        <w:t xml:space="preserve"> района, в которых выявлены риски нарушения антимонопольного законодательства, рассчитывается по формуле:</w:t>
      </w:r>
    </w:p>
    <w:p w:rsidR="00C6296D" w:rsidRDefault="00C6296D" w:rsidP="00C6296D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6296D" w:rsidRDefault="00C6296D" w:rsidP="00C6296D">
      <w:pPr>
        <w:pStyle w:val="a3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Дпнпа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Кпнпа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/Кноп</w:t>
      </w:r>
    </w:p>
    <w:p w:rsidR="00C6296D" w:rsidRDefault="00C6296D" w:rsidP="00C6296D">
      <w:pPr>
        <w:pStyle w:val="a3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6296D" w:rsidRPr="00C6296D" w:rsidRDefault="00C6296D" w:rsidP="00C6296D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C6296D">
        <w:rPr>
          <w:rFonts w:ascii="Times New Roman" w:eastAsiaTheme="minorEastAsia" w:hAnsi="Times New Roman" w:cs="Times New Roman"/>
          <w:sz w:val="28"/>
          <w:szCs w:val="28"/>
        </w:rPr>
        <w:t>Днпа</w:t>
      </w:r>
      <w:proofErr w:type="spellEnd"/>
      <w:r w:rsidRPr="00C6296D">
        <w:rPr>
          <w:rFonts w:ascii="Times New Roman" w:eastAsiaTheme="minorEastAsia" w:hAnsi="Times New Roman" w:cs="Times New Roman"/>
          <w:sz w:val="28"/>
          <w:szCs w:val="28"/>
        </w:rPr>
        <w:t xml:space="preserve"> - доля нормативных правовых актов Администрации </w:t>
      </w:r>
      <w:proofErr w:type="spellStart"/>
      <w:r w:rsidRPr="00C6296D">
        <w:rPr>
          <w:rFonts w:ascii="Times New Roman" w:eastAsiaTheme="minorEastAsia" w:hAnsi="Times New Roman" w:cs="Times New Roman"/>
          <w:sz w:val="28"/>
          <w:szCs w:val="28"/>
        </w:rPr>
        <w:t>Хабарского</w:t>
      </w:r>
      <w:proofErr w:type="spellEnd"/>
      <w:r w:rsidRPr="00C6296D">
        <w:rPr>
          <w:rFonts w:ascii="Times New Roman" w:eastAsiaTheme="minorEastAsia" w:hAnsi="Times New Roman" w:cs="Times New Roman"/>
          <w:sz w:val="28"/>
          <w:szCs w:val="28"/>
        </w:rPr>
        <w:t xml:space="preserve"> района, в которых выявлены риски нарушения антимонопольного законодательства;</w:t>
      </w:r>
    </w:p>
    <w:p w:rsidR="00C6296D" w:rsidRPr="00C6296D" w:rsidRDefault="00C6296D" w:rsidP="00C6296D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C6296D">
        <w:rPr>
          <w:rFonts w:ascii="Times New Roman" w:eastAsiaTheme="minorEastAsia" w:hAnsi="Times New Roman" w:cs="Times New Roman"/>
          <w:sz w:val="28"/>
          <w:szCs w:val="28"/>
        </w:rPr>
        <w:t>Кпнпа</w:t>
      </w:r>
      <w:proofErr w:type="spellEnd"/>
      <w:r w:rsidRPr="00C6296D"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нормативных правовых актов Администрации </w:t>
      </w:r>
      <w:proofErr w:type="spellStart"/>
      <w:r w:rsidRPr="00C6296D">
        <w:rPr>
          <w:rFonts w:ascii="Times New Roman" w:eastAsiaTheme="minorEastAsia" w:hAnsi="Times New Roman" w:cs="Times New Roman"/>
          <w:sz w:val="28"/>
          <w:szCs w:val="28"/>
        </w:rPr>
        <w:t>Хабарского</w:t>
      </w:r>
      <w:proofErr w:type="spellEnd"/>
      <w:r w:rsidRPr="00C6296D">
        <w:rPr>
          <w:rFonts w:ascii="Times New Roman" w:eastAsiaTheme="minorEastAsia" w:hAnsi="Times New Roman" w:cs="Times New Roman"/>
          <w:sz w:val="28"/>
          <w:szCs w:val="28"/>
        </w:rPr>
        <w:t xml:space="preserve"> района, в которых выявлены риски нарушения антимоно</w:t>
      </w:r>
      <w:r w:rsidR="00AC23C9">
        <w:rPr>
          <w:rFonts w:ascii="Times New Roman" w:eastAsiaTheme="minorEastAsia" w:hAnsi="Times New Roman" w:cs="Times New Roman"/>
          <w:sz w:val="28"/>
          <w:szCs w:val="28"/>
        </w:rPr>
        <w:t>польного законодательства в 2023</w:t>
      </w:r>
      <w:r w:rsidRPr="00C6296D">
        <w:rPr>
          <w:rFonts w:ascii="Times New Roman" w:eastAsiaTheme="minorEastAsia" w:hAnsi="Times New Roman" w:cs="Times New Roman"/>
          <w:sz w:val="28"/>
          <w:szCs w:val="28"/>
        </w:rPr>
        <w:t xml:space="preserve"> году юридическим отделом;</w:t>
      </w:r>
    </w:p>
    <w:p w:rsidR="00C6296D" w:rsidRDefault="00C6296D" w:rsidP="00C6296D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6296D">
        <w:rPr>
          <w:rFonts w:ascii="Times New Roman" w:eastAsiaTheme="minorEastAsia" w:hAnsi="Times New Roman" w:cs="Times New Roman"/>
          <w:sz w:val="28"/>
          <w:szCs w:val="28"/>
        </w:rPr>
        <w:t xml:space="preserve">Кноп – количество нормативных правовых актов Администрации </w:t>
      </w:r>
      <w:proofErr w:type="spellStart"/>
      <w:r w:rsidRPr="00C6296D">
        <w:rPr>
          <w:rFonts w:ascii="Times New Roman" w:eastAsiaTheme="minorEastAsia" w:hAnsi="Times New Roman" w:cs="Times New Roman"/>
          <w:sz w:val="28"/>
          <w:szCs w:val="28"/>
        </w:rPr>
        <w:t>Хабарского</w:t>
      </w:r>
      <w:proofErr w:type="spellEnd"/>
      <w:r w:rsidRPr="00C6296D">
        <w:rPr>
          <w:rFonts w:ascii="Times New Roman" w:eastAsiaTheme="minorEastAsia" w:hAnsi="Times New Roman" w:cs="Times New Roman"/>
          <w:sz w:val="28"/>
          <w:szCs w:val="28"/>
        </w:rPr>
        <w:t xml:space="preserve"> района, в которых выявлены нарушения антимоноп</w:t>
      </w:r>
      <w:r w:rsidR="00AC23C9">
        <w:rPr>
          <w:rFonts w:ascii="Times New Roman" w:eastAsiaTheme="minorEastAsia" w:hAnsi="Times New Roman" w:cs="Times New Roman"/>
          <w:sz w:val="28"/>
          <w:szCs w:val="28"/>
        </w:rPr>
        <w:t>ольного законодательства за 2023</w:t>
      </w:r>
      <w:r w:rsidRPr="00C6296D">
        <w:rPr>
          <w:rFonts w:ascii="Times New Roman" w:eastAsiaTheme="minorEastAsia" w:hAnsi="Times New Roman" w:cs="Times New Roman"/>
          <w:sz w:val="28"/>
          <w:szCs w:val="28"/>
        </w:rPr>
        <w:t xml:space="preserve"> году антимонопольным органом.</w:t>
      </w:r>
    </w:p>
    <w:p w:rsidR="009A44D5" w:rsidRPr="00C6296D" w:rsidRDefault="009A44D5" w:rsidP="009A44D5">
      <w:pPr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Днпа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=0/0=0</w:t>
      </w:r>
    </w:p>
    <w:p w:rsidR="00640D60" w:rsidRDefault="00640D60" w:rsidP="00640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96D" w:rsidRDefault="00C6296D" w:rsidP="009A44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Коэффициент снижения количество нарушений антимонопольного законодательства со стороны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43449">
        <w:rPr>
          <w:rFonts w:ascii="Times New Roman" w:hAnsi="Times New Roman" w:cs="Times New Roman"/>
          <w:sz w:val="28"/>
          <w:szCs w:val="28"/>
        </w:rPr>
        <w:t xml:space="preserve"> по сравнению с предыдущим отчетным периодом:</w:t>
      </w:r>
    </w:p>
    <w:p w:rsidR="00C6296D" w:rsidRDefault="00C6296D" w:rsidP="009A44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96D" w:rsidRDefault="00C6296D" w:rsidP="009A44D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КСН= </w:t>
      </w:r>
      <w:r w:rsidR="00AC23C9">
        <w:rPr>
          <w:rFonts w:ascii="Times New Roman" w:hAnsi="Times New Roman" w:cs="Times New Roman"/>
          <w:sz w:val="28"/>
          <w:szCs w:val="28"/>
        </w:rPr>
        <w:t>КН2020/КН2022</w:t>
      </w:r>
    </w:p>
    <w:p w:rsidR="00543449" w:rsidRDefault="00543449" w:rsidP="009A44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КСН – коэффициент снижения количества нарушений антимонопольного законодательства со стороны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</w:t>
      </w:r>
      <w:r w:rsidR="00AC23C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C23C9">
        <w:rPr>
          <w:rFonts w:ascii="Times New Roman" w:hAnsi="Times New Roman" w:cs="Times New Roman"/>
          <w:sz w:val="28"/>
          <w:szCs w:val="28"/>
        </w:rPr>
        <w:t xml:space="preserve"> района по сравнению с 2023</w:t>
      </w:r>
      <w:r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543449" w:rsidRDefault="00AC23C9" w:rsidP="009A44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КН2022</w:t>
      </w:r>
      <w:r w:rsidR="00543449">
        <w:rPr>
          <w:rFonts w:ascii="Times New Roman" w:hAnsi="Times New Roman" w:cs="Times New Roman"/>
          <w:sz w:val="28"/>
          <w:szCs w:val="28"/>
        </w:rPr>
        <w:t xml:space="preserve"> – количество нарушений антимонопольного законодательства со стороны Администрации </w:t>
      </w:r>
      <w:proofErr w:type="spellStart"/>
      <w:r w:rsidR="00543449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543449">
        <w:rPr>
          <w:rFonts w:ascii="Times New Roman" w:hAnsi="Times New Roman" w:cs="Times New Roman"/>
          <w:sz w:val="28"/>
          <w:szCs w:val="28"/>
        </w:rPr>
        <w:t xml:space="preserve"> района в 2019 году;</w:t>
      </w:r>
    </w:p>
    <w:p w:rsidR="00543449" w:rsidRDefault="00AC23C9" w:rsidP="009A44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КН2023</w:t>
      </w:r>
      <w:r w:rsidR="00543449">
        <w:rPr>
          <w:rFonts w:ascii="Times New Roman" w:hAnsi="Times New Roman" w:cs="Times New Roman"/>
          <w:sz w:val="28"/>
          <w:szCs w:val="28"/>
        </w:rPr>
        <w:t xml:space="preserve"> – количество нарушений антимонопольного законодательства со стороны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2023 году по сравнению с 2022</w:t>
      </w:r>
      <w:r w:rsidR="00543449">
        <w:rPr>
          <w:rFonts w:ascii="Times New Roman" w:hAnsi="Times New Roman" w:cs="Times New Roman"/>
          <w:sz w:val="28"/>
          <w:szCs w:val="28"/>
        </w:rPr>
        <w:t xml:space="preserve"> годом не произошло.</w:t>
      </w:r>
    </w:p>
    <w:p w:rsidR="00543449" w:rsidRDefault="00543449" w:rsidP="009A44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методике, утвержденной приказом ФАС России от 05.02.2019 года № 133/19, при эффективном проведении мероприятий по анализу нормативных правовых актов и их проектов на предмет выявления заложенных в них рисков нарушения антимонопольного законодательства ( то есть, при высоком значении числителя) должно наблюдаться уменьшение нормативных правовых актов, в отношении которых антимонопольным органом выявлены нарушения антимонопольного законодательства ( то есть, низкое значение знаменателя).</w:t>
      </w:r>
    </w:p>
    <w:p w:rsidR="009A1C52" w:rsidRDefault="00543449" w:rsidP="009A44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значение указанного выше к</w:t>
      </w:r>
      <w:r w:rsidR="009A1C52">
        <w:rPr>
          <w:rFonts w:ascii="Times New Roman" w:hAnsi="Times New Roman" w:cs="Times New Roman"/>
          <w:sz w:val="28"/>
          <w:szCs w:val="28"/>
        </w:rPr>
        <w:t xml:space="preserve">лючевого показателя будет тем выше, чем эффективнее данные мероприятия антимонопольного </w:t>
      </w:r>
      <w:proofErr w:type="spellStart"/>
      <w:r w:rsidR="009A1C5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A1C52">
        <w:rPr>
          <w:rFonts w:ascii="Times New Roman" w:hAnsi="Times New Roman" w:cs="Times New Roman"/>
          <w:sz w:val="28"/>
          <w:szCs w:val="28"/>
        </w:rPr>
        <w:t xml:space="preserve"> будут осуществляться уполномоченным подразделение (должностным лицом). И,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ключевого показателя будут свидетельствовать о низкой эффективности данных мероприятий.</w:t>
      </w:r>
    </w:p>
    <w:p w:rsidR="009A1C52" w:rsidRDefault="009A1C52" w:rsidP="009A44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количество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которых юридическим отделом выявлены риски нарушения антимоноп</w:t>
      </w:r>
      <w:r w:rsidR="00F34F04">
        <w:rPr>
          <w:rFonts w:ascii="Times New Roman" w:hAnsi="Times New Roman" w:cs="Times New Roman"/>
          <w:sz w:val="28"/>
          <w:szCs w:val="28"/>
        </w:rPr>
        <w:t>ольного законодательства, в 2023</w:t>
      </w:r>
      <w:r>
        <w:rPr>
          <w:rFonts w:ascii="Times New Roman" w:hAnsi="Times New Roman" w:cs="Times New Roman"/>
          <w:sz w:val="28"/>
          <w:szCs w:val="28"/>
        </w:rPr>
        <w:t xml:space="preserve"> году равно 0 (количество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которых антимонопольным органом выявлены нарушения антимонопольного законодательства, равно 0), что позволяет сделать вывод о необходимости более эффективного мониторинга указанных нормативных правовых актов на предмет соответствия требованиям антимонопольного законодательства.</w:t>
      </w:r>
    </w:p>
    <w:p w:rsidR="00543449" w:rsidRDefault="0035360D" w:rsidP="009A1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3.Выводы по результатам проведенного анализа</w:t>
      </w:r>
    </w:p>
    <w:p w:rsidR="0035360D" w:rsidRDefault="00F34F04" w:rsidP="00F34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5360D">
        <w:rPr>
          <w:rFonts w:ascii="Times New Roman" w:hAnsi="Times New Roman" w:cs="Times New Roman"/>
          <w:sz w:val="28"/>
          <w:szCs w:val="28"/>
        </w:rPr>
        <w:t>Проведенный анализ позволяет сделать выв</w:t>
      </w:r>
      <w:r>
        <w:rPr>
          <w:rFonts w:ascii="Times New Roman" w:hAnsi="Times New Roman" w:cs="Times New Roman"/>
          <w:sz w:val="28"/>
          <w:szCs w:val="28"/>
        </w:rPr>
        <w:t>од о том, что в прошедшем 2023</w:t>
      </w:r>
      <w:r w:rsidR="0035360D">
        <w:rPr>
          <w:rFonts w:ascii="Times New Roman" w:hAnsi="Times New Roman" w:cs="Times New Roman"/>
          <w:sz w:val="28"/>
          <w:szCs w:val="28"/>
        </w:rPr>
        <w:t xml:space="preserve"> году деятельность Администрации </w:t>
      </w:r>
      <w:proofErr w:type="spellStart"/>
      <w:r w:rsidR="0035360D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35360D">
        <w:rPr>
          <w:rFonts w:ascii="Times New Roman" w:hAnsi="Times New Roman" w:cs="Times New Roman"/>
          <w:sz w:val="28"/>
          <w:szCs w:val="28"/>
        </w:rPr>
        <w:t xml:space="preserve"> района соответствует требованиям антимонопольного законодательства.</w:t>
      </w:r>
    </w:p>
    <w:p w:rsidR="0035360D" w:rsidRDefault="0035360D" w:rsidP="009A44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 отсутствие за анализируемый период фактов привлечения должностных лиц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 административной ответственности за нарушения антимонопольного законодательства.</w:t>
      </w:r>
    </w:p>
    <w:p w:rsidR="0035360D" w:rsidRPr="0035360D" w:rsidRDefault="0035360D" w:rsidP="009A44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вероятности наступления и (или) минимизации последствий нас</w:t>
      </w:r>
      <w:r w:rsidR="00F34F04">
        <w:rPr>
          <w:rFonts w:ascii="Times New Roman" w:hAnsi="Times New Roman" w:cs="Times New Roman"/>
          <w:sz w:val="28"/>
          <w:szCs w:val="28"/>
        </w:rPr>
        <w:t xml:space="preserve">тупления </w:t>
      </w:r>
      <w:proofErr w:type="spellStart"/>
      <w:r w:rsidR="00F34F0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F34F04">
        <w:rPr>
          <w:rFonts w:ascii="Times New Roman" w:hAnsi="Times New Roman" w:cs="Times New Roman"/>
          <w:sz w:val="28"/>
          <w:szCs w:val="28"/>
        </w:rPr>
        <w:t>-рисков в 2024</w:t>
      </w:r>
      <w:r>
        <w:rPr>
          <w:rFonts w:ascii="Times New Roman" w:hAnsi="Times New Roman" w:cs="Times New Roman"/>
          <w:sz w:val="28"/>
          <w:szCs w:val="28"/>
        </w:rPr>
        <w:t xml:space="preserve"> году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будет руководствоваться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A44D5">
        <w:rPr>
          <w:rFonts w:ascii="Times New Roman" w:hAnsi="Times New Roman" w:cs="Times New Roman"/>
          <w:sz w:val="28"/>
          <w:szCs w:val="28"/>
        </w:rPr>
        <w:t>27.07.2020 года №298.</w:t>
      </w:r>
    </w:p>
    <w:p w:rsidR="00640D60" w:rsidRPr="00640D60" w:rsidRDefault="00640D60" w:rsidP="00640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D60" w:rsidRPr="00640D60" w:rsidRDefault="00640D60" w:rsidP="00640D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40D60" w:rsidRPr="0064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7262"/>
    <w:multiLevelType w:val="hybridMultilevel"/>
    <w:tmpl w:val="2E48F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772D6"/>
    <w:multiLevelType w:val="hybridMultilevel"/>
    <w:tmpl w:val="AFBEB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72463"/>
    <w:multiLevelType w:val="hybridMultilevel"/>
    <w:tmpl w:val="66E03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307E4"/>
    <w:multiLevelType w:val="hybridMultilevel"/>
    <w:tmpl w:val="34A4E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69"/>
    <w:rsid w:val="00072E9E"/>
    <w:rsid w:val="00211A53"/>
    <w:rsid w:val="00326860"/>
    <w:rsid w:val="0035360D"/>
    <w:rsid w:val="00381927"/>
    <w:rsid w:val="00543449"/>
    <w:rsid w:val="005A1441"/>
    <w:rsid w:val="00640D60"/>
    <w:rsid w:val="006A1E6A"/>
    <w:rsid w:val="00744482"/>
    <w:rsid w:val="00772119"/>
    <w:rsid w:val="008930A3"/>
    <w:rsid w:val="00922333"/>
    <w:rsid w:val="009A1C52"/>
    <w:rsid w:val="009A44D5"/>
    <w:rsid w:val="00AC23C9"/>
    <w:rsid w:val="00C046C4"/>
    <w:rsid w:val="00C6296D"/>
    <w:rsid w:val="00DB5169"/>
    <w:rsid w:val="00F3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CCFF0-C74B-4E82-956D-DEAA1910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D6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6296D"/>
    <w:rPr>
      <w:color w:val="808080"/>
    </w:rPr>
  </w:style>
  <w:style w:type="character" w:customStyle="1" w:styleId="a5">
    <w:name w:val="Основной текст_"/>
    <w:basedOn w:val="a0"/>
    <w:link w:val="1"/>
    <w:rsid w:val="0038192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38192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3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DF87F-5CE4-46EA-8F92-388E02E0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6</cp:revision>
  <cp:lastPrinted>2024-02-14T04:49:00Z</cp:lastPrinted>
  <dcterms:created xsi:type="dcterms:W3CDTF">2022-02-18T02:47:00Z</dcterms:created>
  <dcterms:modified xsi:type="dcterms:W3CDTF">2024-02-14T04:50:00Z</dcterms:modified>
</cp:coreProperties>
</file>